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6D953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12AE1278" w14:textId="77777777" w:rsidTr="00A756CA">
        <w:tc>
          <w:tcPr>
            <w:tcW w:w="3259" w:type="dxa"/>
          </w:tcPr>
          <w:p w14:paraId="37EC1840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776B1395" w14:textId="1690CFBA" w:rsidR="00A756CA" w:rsidRDefault="00A756CA" w:rsidP="00A756CA">
            <w:pPr>
              <w:jc w:val="center"/>
            </w:pPr>
            <w:r>
              <w:t>Original version</w:t>
            </w:r>
            <w:r w:rsidR="00071565">
              <w:t xml:space="preserve"> (pg 130)</w:t>
            </w:r>
            <w:bookmarkStart w:id="0" w:name="_GoBack"/>
            <w:bookmarkEnd w:id="0"/>
          </w:p>
        </w:tc>
        <w:tc>
          <w:tcPr>
            <w:tcW w:w="3259" w:type="dxa"/>
          </w:tcPr>
          <w:p w14:paraId="61DB2E24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30861463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22C8F6BA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46E6EB18" w14:textId="77777777" w:rsidTr="00A756CA">
        <w:tc>
          <w:tcPr>
            <w:tcW w:w="3259" w:type="dxa"/>
          </w:tcPr>
          <w:p w14:paraId="3B07315A" w14:textId="165929BB" w:rsidR="002302CF" w:rsidRPr="001A61B0" w:rsidRDefault="00D920E0" w:rsidP="00A756CA">
            <w:pPr>
              <w:jc w:val="both"/>
              <w:rPr>
                <w:lang w:val="en-US"/>
              </w:rPr>
            </w:pPr>
            <w:r w:rsidRPr="001A61B0">
              <w:rPr>
                <w:lang w:val="en-US"/>
              </w:rPr>
              <w:t>“I had changed; I was looking about me with the eyes of a foreigner, and not just any foreigner, but that particular type of entitled an unsympathetic</w:t>
            </w:r>
            <w:r w:rsidR="00750128" w:rsidRPr="001A61B0">
              <w:rPr>
                <w:lang w:val="en-US"/>
              </w:rPr>
              <w:t xml:space="preserve"> American who so annoyed me when I encountere</w:t>
            </w:r>
            <w:r w:rsidR="004D123F">
              <w:rPr>
                <w:lang w:val="en-US"/>
              </w:rPr>
              <w:t>d him in the classrooms and wor</w:t>
            </w:r>
            <w:r w:rsidR="00750128" w:rsidRPr="001A61B0">
              <w:rPr>
                <w:lang w:val="en-US"/>
              </w:rPr>
              <w:t>kplaces of your country’s elite”.</w:t>
            </w:r>
          </w:p>
        </w:tc>
        <w:tc>
          <w:tcPr>
            <w:tcW w:w="3259" w:type="dxa"/>
          </w:tcPr>
          <w:p w14:paraId="1DFD2689" w14:textId="4B0B62E1" w:rsidR="002302CF" w:rsidRPr="001A61B0" w:rsidRDefault="000A4A05" w:rsidP="001A61B0">
            <w:pPr>
              <w:jc w:val="both"/>
              <w:rPr>
                <w:color w:val="002060"/>
              </w:rPr>
            </w:pPr>
            <w:r>
              <w:rPr>
                <w:rFonts w:cs="Helvetica"/>
                <w:color w:val="10131A"/>
              </w:rPr>
              <w:t>“Ero cambiato; e</w:t>
            </w:r>
            <w:r w:rsidR="001A61B0" w:rsidRPr="001A61B0">
              <w:rPr>
                <w:rFonts w:cs="Helvetica"/>
                <w:color w:val="10131A"/>
              </w:rPr>
              <w:t>ro io che mi guardavo attorno con gli occhi di uno straniero, e non di uno straniero qualunque, ma di quel particolare tipo di americano arrogante e indisponente che mi dava tanto fastidio quando lo incontravo nelle aule universitarie e nei luoghi di lavoro dell’élite del vostr</w:t>
            </w:r>
            <w:r w:rsidR="002C0D34">
              <w:rPr>
                <w:rFonts w:cs="Helvetica"/>
                <w:color w:val="10131A"/>
              </w:rPr>
              <w:t>o paese”.</w:t>
            </w:r>
          </w:p>
        </w:tc>
        <w:tc>
          <w:tcPr>
            <w:tcW w:w="3260" w:type="dxa"/>
            <w:vMerge w:val="restart"/>
          </w:tcPr>
          <w:p w14:paraId="687F28F9" w14:textId="77777777" w:rsidR="002302CF" w:rsidRDefault="00316E2E" w:rsidP="00B672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intelligent reader should immediately notice that in the Italian translation are inverted the words’ order: indeed the second speech starts with the verb and then it follows the subject.</w:t>
            </w:r>
            <w:r w:rsidR="007E3552">
              <w:rPr>
                <w:lang w:val="en-US"/>
              </w:rPr>
              <w:t xml:space="preserve"> This structure emphasizes</w:t>
            </w:r>
            <w:r w:rsidR="00353C03">
              <w:rPr>
                <w:lang w:val="en-US"/>
              </w:rPr>
              <w:t xml:space="preserve"> the subject “Io”</w:t>
            </w:r>
            <w:r w:rsidR="00226350">
              <w:rPr>
                <w:lang w:val="en-US"/>
              </w:rPr>
              <w:t>, to make turn the point of view of the reader into another prospective.</w:t>
            </w:r>
            <w:r w:rsidR="00B672A7">
              <w:rPr>
                <w:lang w:val="en-US"/>
              </w:rPr>
              <w:t xml:space="preserve"> In the original version this is made by the word “me” that underlines the importance of the subject than the verb.</w:t>
            </w:r>
            <w:r w:rsidR="007E3552">
              <w:rPr>
                <w:lang w:val="en-US"/>
              </w:rPr>
              <w:t xml:space="preserve"> </w:t>
            </w:r>
          </w:p>
          <w:p w14:paraId="0C0C174F" w14:textId="6D28A2EE" w:rsidR="008426D1" w:rsidRPr="002302CF" w:rsidRDefault="008426D1" w:rsidP="00B672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It is also interesting to notice that some adjectives comes before the names in the original version, like “</w:t>
            </w:r>
            <w:r w:rsidR="00B224DB" w:rsidRPr="001A61B0">
              <w:rPr>
                <w:lang w:val="en-US"/>
              </w:rPr>
              <w:t>entitled an unsympathetic American</w:t>
            </w:r>
            <w:r w:rsidR="00B224DB">
              <w:rPr>
                <w:lang w:val="en-US"/>
              </w:rPr>
              <w:t>”, while in the Italian register would be incorrect do this.</w:t>
            </w:r>
            <w:r w:rsidR="001F2E84">
              <w:rPr>
                <w:lang w:val="en-US"/>
              </w:rPr>
              <w:t xml:space="preserve"> In addition, in the Italian translation many subjects are omitted, while the English language cannot do this.</w:t>
            </w:r>
            <w:r w:rsidR="009D55E4">
              <w:rPr>
                <w:lang w:val="en-US"/>
              </w:rPr>
              <w:t xml:space="preserve"> On the other hand, the intelligent reader can notice that the word “elite” does not change, because the word entered the Italian language, too.</w:t>
            </w:r>
          </w:p>
        </w:tc>
      </w:tr>
      <w:tr w:rsidR="002302CF" w:rsidRPr="00A756CA" w14:paraId="68CCF996" w14:textId="77777777" w:rsidTr="002302CF">
        <w:trPr>
          <w:trHeight w:val="746"/>
        </w:trPr>
        <w:tc>
          <w:tcPr>
            <w:tcW w:w="6518" w:type="dxa"/>
            <w:gridSpan w:val="2"/>
          </w:tcPr>
          <w:p w14:paraId="5D9E6391" w14:textId="1F946C47" w:rsidR="002302CF" w:rsidRPr="00A756CA" w:rsidRDefault="002302CF" w:rsidP="00750128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of </w:t>
            </w:r>
            <w:r w:rsidR="007334EB">
              <w:rPr>
                <w:lang w:val="en-US"/>
              </w:rPr>
              <w:t>ferocity of Americans that made Changez change</w:t>
            </w:r>
            <w:r w:rsidR="00F22A83">
              <w:rPr>
                <w:lang w:val="en-US"/>
              </w:rPr>
              <w:t>; marking the detachment of the two cultures.</w:t>
            </w:r>
          </w:p>
        </w:tc>
        <w:tc>
          <w:tcPr>
            <w:tcW w:w="3260" w:type="dxa"/>
            <w:vMerge/>
          </w:tcPr>
          <w:p w14:paraId="205E9D80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737178DA" w14:textId="77777777" w:rsidTr="002302CF">
        <w:trPr>
          <w:trHeight w:val="1255"/>
        </w:trPr>
        <w:tc>
          <w:tcPr>
            <w:tcW w:w="6518" w:type="dxa"/>
            <w:gridSpan w:val="2"/>
          </w:tcPr>
          <w:p w14:paraId="1A8FD147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7AEEC7C0" w14:textId="6D032CB3" w:rsidR="002302CF" w:rsidRPr="00A756CA" w:rsidRDefault="00AA7E4C" w:rsidP="004D65E4">
            <w:pPr>
              <w:rPr>
                <w:lang w:val="en-US"/>
              </w:rPr>
            </w:pPr>
            <w:r>
              <w:rPr>
                <w:lang w:val="en-US"/>
              </w:rPr>
              <w:t>In the quotation, Changez realizes to be changed into what he thought not to become.</w:t>
            </w:r>
            <w:r w:rsidR="004D65E4">
              <w:rPr>
                <w:lang w:val="en-US"/>
              </w:rPr>
              <w:t xml:space="preserve"> He felt American, but now that Americans started to discriminate everyone differen</w:t>
            </w:r>
            <w:r w:rsidR="00DB2531">
              <w:rPr>
                <w:lang w:val="en-US"/>
              </w:rPr>
              <w:t>t, Changez started to look Americans with the eyes of a foreigner.</w:t>
            </w:r>
            <w:r w:rsidR="00B812AD">
              <w:rPr>
                <w:lang w:val="en-US"/>
              </w:rPr>
              <w:t xml:space="preserve"> The multicultural country that previously accepted him now it refused him for his provenience and his culture. </w:t>
            </w:r>
            <w:r w:rsidR="00186568">
              <w:rPr>
                <w:lang w:val="en-US"/>
              </w:rPr>
              <w:t>The discriminations make Changez turn into a person he did not want to be, he loved America but now he could not continue to live there anymore.</w:t>
            </w:r>
          </w:p>
        </w:tc>
        <w:tc>
          <w:tcPr>
            <w:tcW w:w="3260" w:type="dxa"/>
            <w:vMerge/>
          </w:tcPr>
          <w:p w14:paraId="35720D35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F8BD76C" w14:textId="77777777" w:rsidTr="004D65E4">
        <w:trPr>
          <w:trHeight w:val="1255"/>
        </w:trPr>
        <w:tc>
          <w:tcPr>
            <w:tcW w:w="6518" w:type="dxa"/>
            <w:gridSpan w:val="2"/>
          </w:tcPr>
          <w:p w14:paraId="633631CA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8E89CF0" w14:textId="2285B929" w:rsidR="002302CF" w:rsidRDefault="003B1795" w:rsidP="002302CF">
            <w:pPr>
              <w:rPr>
                <w:lang w:val="en-US"/>
              </w:rPr>
            </w:pPr>
            <w:r>
              <w:rPr>
                <w:lang w:val="en-US"/>
              </w:rPr>
              <w:t>It is interesting to notice that some words does not change in the two quotations, while many other make change the syntax of the sentence.</w:t>
            </w:r>
          </w:p>
        </w:tc>
        <w:tc>
          <w:tcPr>
            <w:tcW w:w="3260" w:type="dxa"/>
            <w:vMerge/>
          </w:tcPr>
          <w:p w14:paraId="0ED9AB43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42D418E9" w14:textId="77777777" w:rsidR="00A756CA" w:rsidRPr="00A756CA" w:rsidRDefault="00A756CA" w:rsidP="00A756CA">
      <w:pPr>
        <w:spacing w:after="0"/>
        <w:rPr>
          <w:lang w:val="en-US"/>
        </w:rPr>
      </w:pPr>
    </w:p>
    <w:p w14:paraId="5DCC71D8" w14:textId="77777777" w:rsidR="00E927C5" w:rsidRPr="00A756CA" w:rsidRDefault="00E927C5" w:rsidP="00FE09C0">
      <w:pPr>
        <w:spacing w:after="0"/>
        <w:rPr>
          <w:lang w:val="en-US"/>
        </w:rPr>
      </w:pPr>
    </w:p>
    <w:p w14:paraId="07384516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71565"/>
    <w:rsid w:val="000A4A05"/>
    <w:rsid w:val="00186568"/>
    <w:rsid w:val="001A61B0"/>
    <w:rsid w:val="001F2E84"/>
    <w:rsid w:val="00226350"/>
    <w:rsid w:val="002302CF"/>
    <w:rsid w:val="002C0D34"/>
    <w:rsid w:val="00316E2E"/>
    <w:rsid w:val="00353C03"/>
    <w:rsid w:val="003B1795"/>
    <w:rsid w:val="004804AF"/>
    <w:rsid w:val="004D123F"/>
    <w:rsid w:val="004D65E4"/>
    <w:rsid w:val="006A5B85"/>
    <w:rsid w:val="007334EB"/>
    <w:rsid w:val="00750128"/>
    <w:rsid w:val="007E3552"/>
    <w:rsid w:val="008426D1"/>
    <w:rsid w:val="009663A5"/>
    <w:rsid w:val="009D55E4"/>
    <w:rsid w:val="00A756CA"/>
    <w:rsid w:val="00AA7E4C"/>
    <w:rsid w:val="00B224DB"/>
    <w:rsid w:val="00B672A7"/>
    <w:rsid w:val="00B812AD"/>
    <w:rsid w:val="00C21E3B"/>
    <w:rsid w:val="00D920E0"/>
    <w:rsid w:val="00DB2531"/>
    <w:rsid w:val="00E927C5"/>
    <w:rsid w:val="00F22A83"/>
    <w:rsid w:val="00F27C79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4C0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2004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27</cp:revision>
  <dcterms:created xsi:type="dcterms:W3CDTF">2014-10-23T11:21:00Z</dcterms:created>
  <dcterms:modified xsi:type="dcterms:W3CDTF">2014-11-03T15:23:00Z</dcterms:modified>
</cp:coreProperties>
</file>